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after="480"/>
      </w:pPr>
      <w:r>
        <w:t xml:space="preserve"/>
      </w:r>
    </w:p>
    <w:p>
      <w:pPr>
        <w:spacing w:before="0" w:after="80"/>
        <w:jc w:val="center"/>
      </w:pPr>
      <w:r>
        <w:rPr>
          <w:rFonts w:ascii="Palatino Linotype" w:cs="Palatino Linotype" w:eastAsia="Palatino Linotype" w:hAnsi="Palatino Linotype"/>
          <w:color w:val="C9A84C"/>
          <w:sz w:val="36"/>
          <w:szCs w:val="36"/>
        </w:rPr>
        <w:t xml:space="preserve">⸻ 🏛 ⸻</w:t>
      </w:r>
    </w:p>
    <w:p>
      <w:pPr>
        <w:spacing w:before="0" w:after="80"/>
        <w:jc w:val="center"/>
      </w:pPr>
      <w:r>
        <w:rPr>
          <w:rFonts w:ascii="Palatino Linotype" w:cs="Palatino Linotype" w:eastAsia="Palatino Linotype" w:hAnsi="Palatino Linotype"/>
          <w:b/>
          <w:bCs/>
          <w:caps/>
          <w:color w:val="C9A84C"/>
          <w:sz w:val="96"/>
          <w:szCs w:val="96"/>
        </w:rPr>
        <w:t xml:space="preserve">CAESAR</w:t>
      </w:r>
    </w:p>
    <w:p>
      <w:pPr>
        <w:spacing w:before="0" w:after="160"/>
        <w:jc w:val="center"/>
      </w:pPr>
      <w:r>
        <w:rPr>
          <w:rFonts w:ascii="Palatino Linotype" w:cs="Palatino Linotype" w:eastAsia="Palatino Linotype" w:hAnsi="Palatino Linotype"/>
          <w:caps/>
          <w:color w:val="D4C9A8"/>
          <w:sz w:val="28"/>
          <w:szCs w:val="28"/>
        </w:rPr>
        <w:t xml:space="preserve">THE IMPERIAL ECONOMY</w:t>
      </w:r>
    </w:p>
    <w:p>
      <w:pPr>
        <w:spacing w:before="0" w:after="640"/>
        <w:jc w:val="center"/>
      </w:pPr>
      <w:r>
        <w:rPr>
          <w:rFonts w:ascii="Palatino Linotype" w:cs="Palatino Linotype" w:eastAsia="Palatino Linotype" w:hAnsi="Palatino Linotype"/>
          <w:color w:val="8A7A60"/>
          <w:sz w:val="20"/>
          <w:szCs w:val="20"/>
        </w:rPr>
        <w:t xml:space="preserve">Official Whitepaper  ·  Version 1.0  ·  February 2026</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tblGrid>
      <w:tr>
        <w:tc>
          <w:tcPr>
            <w:tcW w:type="dxa" w:w="2000"/>
            <w:tcBorders>
              <w:top w:val="single" w:color="C9A84C" w:sz="1"/>
              <w:left w:val="single" w:color="C9A84C" w:sz="1"/>
              <w:bottom w:val="single" w:color="C9A84C" w:sz="1"/>
              <w:right w:val="single" w:color="2A1850" w:sz="1"/>
            </w:tcBorders>
            <w:shd w:fill="120825" w:val="clear"/>
            <w:tcMar>
              <w:top w:type="dxa" w:w="120"/>
              <w:left w:type="dxa" w:w="160"/>
              <w:bottom w:type="dxa" w:w="120"/>
              <w:right w:type="dxa" w:w="160"/>
            </w:tcMar>
          </w:tcPr>
          <w:p>
            <w:pPr>
              <w:jc w:val="center"/>
            </w:pPr>
            <w:r>
              <w:rPr>
                <w:rFonts w:ascii="Palatino Linotype" w:cs="Palatino Linotype" w:eastAsia="Palatino Linotype" w:hAnsi="Palatino Linotype"/>
                <w:caps/>
                <w:color w:val="8A7A60"/>
                <w:sz w:val="16"/>
                <w:szCs w:val="16"/>
              </w:rPr>
              <w:t xml:space="preserve">BLOCKCHAIN</w:t>
            </w:r>
          </w:p>
          <w:p>
            <w:pPr>
              <w:jc w:val="center"/>
            </w:pPr>
            <w:r>
              <w:rPr>
                <w:rFonts w:ascii="Palatino Linotype" w:cs="Palatino Linotype" w:eastAsia="Palatino Linotype" w:hAnsi="Palatino Linotype"/>
                <w:b/>
                <w:bCs/>
                <w:color w:val="C9A84C"/>
                <w:sz w:val="24"/>
                <w:szCs w:val="24"/>
              </w:rPr>
              <w:t xml:space="preserve">Solana</w:t>
            </w:r>
          </w:p>
        </w:tc>
        <w:tc>
          <w:tcPr>
            <w:tcW w:type="dxa" w:w="2000"/>
            <w:tcBorders>
              <w:top w:val="single" w:color="C9A84C" w:sz="1"/>
              <w:left w:val="single" w:color="2A1850" w:sz="1"/>
              <w:bottom w:val="single" w:color="C9A84C" w:sz="1"/>
              <w:right w:val="single" w:color="2A1850" w:sz="1"/>
            </w:tcBorders>
            <w:shd w:fill="120825" w:val="clear"/>
            <w:tcMar>
              <w:top w:type="dxa" w:w="120"/>
              <w:left w:type="dxa" w:w="160"/>
              <w:bottom w:type="dxa" w:w="120"/>
              <w:right w:type="dxa" w:w="160"/>
            </w:tcMar>
          </w:tcPr>
          <w:p>
            <w:pPr>
              <w:jc w:val="center"/>
            </w:pPr>
            <w:r>
              <w:rPr>
                <w:rFonts w:ascii="Palatino Linotype" w:cs="Palatino Linotype" w:eastAsia="Palatino Linotype" w:hAnsi="Palatino Linotype"/>
                <w:caps/>
                <w:color w:val="8A7A60"/>
                <w:sz w:val="16"/>
                <w:szCs w:val="16"/>
              </w:rPr>
              <w:t xml:space="preserve">TOTAL SUPPLY</w:t>
            </w:r>
          </w:p>
          <w:p>
            <w:pPr>
              <w:jc w:val="center"/>
            </w:pPr>
            <w:r>
              <w:rPr>
                <w:rFonts w:ascii="Palatino Linotype" w:cs="Palatino Linotype" w:eastAsia="Palatino Linotype" w:hAnsi="Palatino Linotype"/>
                <w:b/>
                <w:bCs/>
                <w:color w:val="C9A84C"/>
                <w:sz w:val="24"/>
                <w:szCs w:val="24"/>
              </w:rPr>
              <w:t xml:space="preserve">1,000,000,000</w:t>
            </w:r>
          </w:p>
        </w:tc>
        <w:tc>
          <w:tcPr>
            <w:tcW w:type="dxa" w:w="2000"/>
            <w:tcBorders>
              <w:top w:val="single" w:color="C9A84C" w:sz="1"/>
              <w:left w:val="single" w:color="2A1850" w:sz="1"/>
              <w:bottom w:val="single" w:color="C9A84C" w:sz="1"/>
              <w:right w:val="single" w:color="C9A84C" w:sz="1"/>
            </w:tcBorders>
            <w:shd w:fill="120825" w:val="clear"/>
            <w:tcMar>
              <w:top w:type="dxa" w:w="120"/>
              <w:left w:type="dxa" w:w="160"/>
              <w:bottom w:type="dxa" w:w="120"/>
              <w:right w:type="dxa" w:w="160"/>
            </w:tcMar>
          </w:tcPr>
          <w:p>
            <w:pPr>
              <w:jc w:val="center"/>
            </w:pPr>
            <w:r>
              <w:rPr>
                <w:rFonts w:ascii="Palatino Linotype" w:cs="Palatino Linotype" w:eastAsia="Palatino Linotype" w:hAnsi="Palatino Linotype"/>
                <w:caps/>
                <w:color w:val="8A7A60"/>
                <w:sz w:val="16"/>
                <w:szCs w:val="16"/>
              </w:rPr>
              <w:t xml:space="preserve">MAX APR</w:t>
            </w:r>
          </w:p>
          <w:p>
            <w:pPr>
              <w:jc w:val="center"/>
            </w:pPr>
            <w:r>
              <w:rPr>
                <w:rFonts w:ascii="Palatino Linotype" w:cs="Palatino Linotype" w:eastAsia="Palatino Linotype" w:hAnsi="Palatino Linotype"/>
                <w:b/>
                <w:bCs/>
                <w:color w:val="C9A84C"/>
                <w:sz w:val="24"/>
                <w:szCs w:val="24"/>
              </w:rPr>
              <w:t xml:space="preserve">42%+</w:t>
            </w:r>
          </w:p>
        </w:tc>
      </w:tr>
    </w:tbl>
    <w:p>
      <w:pPr>
        <w:spacing w:before="320" w:after="0"/>
      </w:pPr>
      <w:r>
        <w:t xml:space="preserve"/>
      </w:r>
    </w:p>
    <w:p>
      <w:pPr>
        <w:spacing w:before="0" w:after="0"/>
        <w:jc w:val="center"/>
      </w:pPr>
      <w:r>
        <w:rPr>
          <w:rFonts w:ascii="Palatino Linotype" w:cs="Palatino Linotype" w:eastAsia="Palatino Linotype" w:hAnsi="Palatino Linotype"/>
          <w:color w:val="8A7A60"/>
          <w:sz w:val="18"/>
          <w:szCs w:val="18"/>
        </w:rPr>
        <w:t xml:space="preserve">Not financial advice. Built on Solana. DYOR.</w:t>
      </w:r>
    </w:p>
    <w:p>
      <w:pPr>
        <w:spacing w:before="0" w:after="0"/>
      </w:pPr>
      <w:r>
        <w:t xml:space="preserve"/>
      </w:r>
    </w:p>
    <w:p>
      <w:pPr>
        <w:pageBreakBefore/>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I. Executive Summary</w:t>
      </w:r>
    </w:p>
    <w:p>
      <w:pPr>
        <w:pBdr>
          <w:bottom w:val="single" w:color="C9A84C" w:sz="1"/>
        </w:pBdr>
        <w:spacing w:before="160" w:after="160"/>
      </w:pPr>
      <w:r>
        <w:t xml:space="preserve"/>
      </w:r>
    </w:p>
    <w:p>
      <w:pPr>
        <w:spacing w:before="80" w:after="160" w:line="340"/>
      </w:pPr>
      <w:r>
        <w:rPr>
          <w:rFonts w:ascii="Palatino Linotype" w:cs="Palatino Linotype" w:eastAsia="Palatino Linotype" w:hAnsi="Palatino Linotype"/>
          <w:color w:val="D4C9A8"/>
          <w:sz w:val="22"/>
          <w:szCs w:val="22"/>
        </w:rPr>
        <w:t xml:space="preserve">Caesar Empire ($CAESAR) is a deflationary crypto-economic ecosystem built on the Solana blockchain. It is not a meme coin. It is a structured, long-term economy designed with the discipline of Roman imperial architecture — where every mechanic serves the whole, every holder is a citizen with real governance power, and every token has a path toward increasing scarcity.</w:t>
      </w:r>
    </w:p>
    <w:p>
      <w:pPr>
        <w:spacing w:before="120" w:after="120"/>
      </w:pPr>
      <w:r>
        <w:t xml:space="preserve"/>
      </w:r>
    </w:p>
    <w:p>
      <w:pPr>
        <w:spacing w:before="80" w:after="160" w:line="340"/>
      </w:pPr>
      <w:r>
        <w:rPr>
          <w:rFonts w:ascii="Palatino Linotype" w:cs="Palatino Linotype" w:eastAsia="Palatino Linotype" w:hAnsi="Palatino Linotype"/>
          <w:color w:val="D4C9A8"/>
          <w:sz w:val="22"/>
          <w:szCs w:val="22"/>
        </w:rPr>
        <w:t xml:space="preserve">The Caesar ecosystem is anchored by four mutually reinforcing pillars:</w:t>
      </w:r>
    </w:p>
    <w:p>
      <w:pPr>
        <w:spacing w:before="60" w:after="60"/>
      </w:pPr>
      <w:r>
        <w:t xml:space="preserve"/>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Temple of Wealth — A 6–12 month on-chain staking system with compounding APR, NFT unlock milestones, and immutable time locks enforced at the smart contract level.</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Gallery of Mosaics — Utility NFTs with real APR boost modifiers, governance weight multipliers, and an unprecedented money-back guarantee structure funded by the treasury.</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Senate of the Empire — On-chain governance where stakers control burns, APR adjustments, treasury allocation, and development direction through tiered voting rights.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Deflationary Engine — Systematic token burns through treasury events, NFT mechanics, and community Empire Challenges that increase scarcity as the ecosystem grows.</w:t>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120825" w:val="clear"/>
            <w:tcMar>
              <w:top w:type="dxa" w:w="160"/>
              <w:left w:type="dxa" w:w="200"/>
              <w:bottom w:type="dxa" w:w="160"/>
              <w:right w:type="dxa" w:w="200"/>
            </w:tcMar>
          </w:tcPr>
          <w:p>
            <w:pPr>
              <w:spacing w:before="0" w:after="80"/>
            </w:pPr>
            <w:r>
              <w:rPr>
                <w:rFonts w:ascii="Palatino Linotype" w:cs="Palatino Linotype" w:eastAsia="Palatino Linotype" w:hAnsi="Palatino Linotype"/>
                <w:b/>
                <w:bCs/>
                <w:caps/>
                <w:color w:val="C9A84C"/>
                <w:sz w:val="18"/>
                <w:szCs w:val="18"/>
              </w:rPr>
              <w:t xml:space="preserve">CORE THESIS</w:t>
            </w:r>
          </w:p>
          <w:p>
            <w:pPr>
              <w:spacing w:before="0" w:after="0"/>
            </w:pPr>
            <w:r>
              <w:rPr>
                <w:rFonts w:ascii="Palatino Linotype" w:cs="Palatino Linotype" w:eastAsia="Palatino Linotype" w:hAnsi="Palatino Linotype"/>
                <w:color w:val="D4C9A8"/>
                <w:sz w:val="20"/>
                <w:szCs w:val="20"/>
              </w:rPr>
              <w:t xml:space="preserve">Caesar is designed for the investor who understands that wealth is built through discipline, not speculation. The minimum 6-month staking lock is not a restriction — it is the architecture of value. Every lock removes supply. Every lock strengthens every other holder's position.</w:t>
            </w:r>
          </w:p>
        </w:tc>
      </w:tr>
    </w:tbl>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II. The Problem with Crypto Today</w:t>
      </w:r>
    </w:p>
    <w:p>
      <w:pPr>
        <w:pBdr>
          <w:bottom w:val="single" w:color="C9A84C" w:sz="1"/>
        </w:pBdr>
        <w:spacing w:before="160" w:after="160"/>
      </w:pPr>
      <w:r>
        <w:t xml:space="preserve"/>
      </w:r>
    </w:p>
    <w:p>
      <w:pPr>
        <w:spacing w:before="80" w:after="160" w:line="340"/>
      </w:pPr>
      <w:r>
        <w:rPr>
          <w:rFonts w:ascii="Palatino Linotype" w:cs="Palatino Linotype" w:eastAsia="Palatino Linotype" w:hAnsi="Palatino Linotype"/>
          <w:color w:val="D4C9A8"/>
          <w:sz w:val="22"/>
          <w:szCs w:val="22"/>
        </w:rPr>
        <w:t xml:space="preserve">The crypto market is saturated with projects that prioritize short-term speculation over long-term value creation. Meme coins flood the market with no utility, no governance, and no structural reason for their tokens to hold value. Even projects with genuine technology often suffer from:</w:t>
      </w:r>
    </w:p>
    <w:p>
      <w:pPr>
        <w:spacing w:before="60" w:after="60"/>
      </w:pPr>
      <w:r>
        <w:t xml:space="preserve"/>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Excessive circulating supply and no deflationary mechanics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Centralized governance or no governance at all</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Staking systems with no meaningful lock periods, creating constant sell pressure</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NFT ecosystems that are purely speculative with no real utility</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Creator allocations with no vesting — aligned with dump, not build</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No transparency between treasury and community</w:t>
      </w:r>
    </w:p>
    <w:p>
      <w:pPr>
        <w:spacing w:before="120" w:after="120"/>
      </w:pPr>
      <w:r>
        <w:t xml:space="preserve"/>
      </w:r>
    </w:p>
    <w:p>
      <w:pPr>
        <w:spacing w:before="80" w:after="160" w:line="340"/>
      </w:pPr>
      <w:r>
        <w:rPr>
          <w:rFonts w:ascii="Palatino Linotype" w:cs="Palatino Linotype" w:eastAsia="Palatino Linotype" w:hAnsi="Palatino Linotype"/>
          <w:color w:val="D4C9A8"/>
          <w:sz w:val="22"/>
          <w:szCs w:val="22"/>
        </w:rPr>
        <w:t xml:space="preserve">The result is a market where most retail investors lose money not because crypto is bad, but because most crypto projects are built for the founders, not the holders.</w:t>
      </w:r>
    </w:p>
    <w:p>
      <w:pPr>
        <w:spacing w:before="120" w:after="120"/>
      </w:pPr>
      <w:r>
        <w:t xml:space="preserve"/>
      </w:r>
    </w:p>
    <w:p>
      <w:pPr>
        <w:spacing w:before="80" w:after="160" w:line="340"/>
      </w:pPr>
      <w:r>
        <w:rPr>
          <w:rFonts w:ascii="Palatino Linotype" w:cs="Palatino Linotype" w:eastAsia="Palatino Linotype" w:hAnsi="Palatino Linotype"/>
          <w:color w:val="D4C9A8"/>
          <w:sz w:val="22"/>
          <w:szCs w:val="22"/>
        </w:rPr>
        <w:t xml:space="preserve">Caesar is built differently. The mechanics are designed so that the interests of the creator and the holder are permanently aligned through on-chain enforcement, not promises.</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III. The Caesar Solution</w:t>
      </w:r>
    </w:p>
    <w:p>
      <w:pPr>
        <w:pBdr>
          <w:bottom w:val="single" w:color="C9A84C" w:sz="1"/>
        </w:pBdr>
        <w:spacing w:before="160" w:after="16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3.1 Structural Philosophy</w:t>
      </w:r>
    </w:p>
    <w:p>
      <w:pPr>
        <w:spacing w:before="80" w:after="160" w:line="340"/>
      </w:pPr>
      <w:r>
        <w:rPr>
          <w:rFonts w:ascii="Palatino Linotype" w:cs="Palatino Linotype" w:eastAsia="Palatino Linotype" w:hAnsi="Palatino Linotype"/>
          <w:color w:val="D4C9A8"/>
          <w:sz w:val="22"/>
          <w:szCs w:val="22"/>
        </w:rPr>
        <w:t xml:space="preserve">The Roman Empire lasted centuries not because of a charismatic leader, but because of its institutions — its Senate, its laws, its legions, its treasury. Caesar Empire is designed with the same philosophy. The token is not the product. The economy is the product.</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3.2 The Five Pillars</w:t>
      </w:r>
    </w:p>
    <w:p>
      <w:pPr>
        <w:spacing w:before="60" w:after="60"/>
      </w:pPr>
      <w:r>
        <w:t xml:space="preserve"/>
      </w:r>
    </w:p>
    <w:p>
      <w:pPr>
        <w:spacing w:before="240" w:after="120"/>
      </w:pPr>
      <w:r>
        <w:rPr>
          <w:rFonts w:ascii="Palatino Linotype" w:cs="Palatino Linotype" w:eastAsia="Palatino Linotype" w:hAnsi="Palatino Linotype"/>
          <w:b/>
          <w:bCs/>
          <w:color w:val="C9A84C"/>
          <w:sz w:val="24"/>
          <w:szCs w:val="24"/>
        </w:rPr>
        <w:t xml:space="preserve">Pillar 1 — Deflationary Token Architecture</w:t>
      </w:r>
    </w:p>
    <w:p>
      <w:pPr>
        <w:spacing w:before="80" w:after="160" w:line="340"/>
      </w:pPr>
      <w:r>
        <w:rPr>
          <w:rFonts w:ascii="Palatino Linotype" w:cs="Palatino Linotype" w:eastAsia="Palatino Linotype" w:hAnsi="Palatino Linotype"/>
          <w:color w:val="D4C9A8"/>
          <w:sz w:val="22"/>
          <w:szCs w:val="22"/>
        </w:rPr>
        <w:t xml:space="preserve">Caesar's supply decreases over time through multiple complementary mechanisms: treasury-controlled burn events voted on by the Senate, NFT burn mechanics that permanently destroy tokens as part of the merge system, and Empire Challenges that burn tokens as participation mechanics.</w:t>
      </w:r>
    </w:p>
    <w:p>
      <w:pPr>
        <w:spacing w:before="120" w:after="120"/>
      </w:pPr>
      <w:r>
        <w:t xml:space="preserve"/>
      </w:r>
    </w:p>
    <w:p>
      <w:pPr>
        <w:spacing w:before="240" w:after="120"/>
      </w:pPr>
      <w:r>
        <w:rPr>
          <w:rFonts w:ascii="Palatino Linotype" w:cs="Palatino Linotype" w:eastAsia="Palatino Linotype" w:hAnsi="Palatino Linotype"/>
          <w:b/>
          <w:bCs/>
          <w:color w:val="C9A84C"/>
          <w:sz w:val="24"/>
          <w:szCs w:val="24"/>
        </w:rPr>
        <w:t xml:space="preserve">Pillar 2 — Immutable Staking Locks</w:t>
      </w:r>
    </w:p>
    <w:p>
      <w:pPr>
        <w:spacing w:before="80" w:after="160" w:line="340"/>
      </w:pPr>
      <w:r>
        <w:rPr>
          <w:rFonts w:ascii="Palatino Linotype" w:cs="Palatino Linotype" w:eastAsia="Palatino Linotype" w:hAnsi="Palatino Linotype"/>
          <w:color w:val="D4C9A8"/>
          <w:sz w:val="22"/>
          <w:szCs w:val="22"/>
        </w:rPr>
        <w:t xml:space="preserve">All staking positions are locked on-chain for a minimum of 6 months. This is enforced at the smart contract level — not even the creator can override it. This is not a restriction on holders. It is a protection for holders. Every locked token is a token that cannot create sell pressure.</w:t>
      </w:r>
    </w:p>
    <w:p>
      <w:pPr>
        <w:spacing w:before="120" w:after="120"/>
      </w:pPr>
      <w:r>
        <w:t xml:space="preserve"/>
      </w:r>
    </w:p>
    <w:p>
      <w:pPr>
        <w:spacing w:before="240" w:after="120"/>
      </w:pPr>
      <w:r>
        <w:rPr>
          <w:rFonts w:ascii="Palatino Linotype" w:cs="Palatino Linotype" w:eastAsia="Palatino Linotype" w:hAnsi="Palatino Linotype"/>
          <w:b/>
          <w:bCs/>
          <w:color w:val="C9A84C"/>
          <w:sz w:val="24"/>
          <w:szCs w:val="24"/>
        </w:rPr>
        <w:t xml:space="preserve">Pillar 3 — NFT Utility Ecosystem</w:t>
      </w:r>
    </w:p>
    <w:p>
      <w:pPr>
        <w:spacing w:before="80" w:after="160" w:line="340"/>
      </w:pPr>
      <w:r>
        <w:rPr>
          <w:rFonts w:ascii="Palatino Linotype" w:cs="Palatino Linotype" w:eastAsia="Palatino Linotype" w:hAnsi="Palatino Linotype"/>
          <w:color w:val="D4C9A8"/>
          <w:sz w:val="22"/>
          <w:szCs w:val="22"/>
        </w:rPr>
        <w:t xml:space="preserve">Roman Mosaic NFTs are functional assets, not collectibles. They modify APR rates, amplify governance voting weight, and carry a treasury-backed value guarantee. The merge system allows lower-tier NFTs to be combined into higher-prestige pieces, creating a deflationary NFT economy within the Caesar ecosystem.</w:t>
      </w:r>
    </w:p>
    <w:p>
      <w:pPr>
        <w:spacing w:before="120" w:after="120"/>
      </w:pPr>
      <w:r>
        <w:t xml:space="preserve"/>
      </w:r>
    </w:p>
    <w:p>
      <w:pPr>
        <w:spacing w:before="240" w:after="120"/>
      </w:pPr>
      <w:r>
        <w:rPr>
          <w:rFonts w:ascii="Palatino Linotype" w:cs="Palatino Linotype" w:eastAsia="Palatino Linotype" w:hAnsi="Palatino Linotype"/>
          <w:b/>
          <w:bCs/>
          <w:color w:val="C9A84C"/>
          <w:sz w:val="24"/>
          <w:szCs w:val="24"/>
        </w:rPr>
        <w:t xml:space="preserve">Pillar 4 — On-Chain Governance</w:t>
      </w:r>
    </w:p>
    <w:p>
      <w:pPr>
        <w:spacing w:before="80" w:after="160" w:line="340"/>
      </w:pPr>
      <w:r>
        <w:rPr>
          <w:rFonts w:ascii="Palatino Linotype" w:cs="Palatino Linotype" w:eastAsia="Palatino Linotype" w:hAnsi="Palatino Linotype"/>
          <w:color w:val="D4C9A8"/>
          <w:sz w:val="22"/>
          <w:szCs w:val="22"/>
        </w:rPr>
        <w:t xml:space="preserve">The Senate of the Empire gives real power to real holders. Proposals require Patrician standing ($1,000+ in staked CAESAR). Voting is open to all stakers. Outcomes are executed on-chain — no admin override, no team veto. The Senate is the law.</w:t>
      </w:r>
    </w:p>
    <w:p>
      <w:pPr>
        <w:spacing w:before="120" w:after="120"/>
      </w:pPr>
      <w:r>
        <w:t xml:space="preserve"/>
      </w:r>
    </w:p>
    <w:p>
      <w:pPr>
        <w:spacing w:before="240" w:after="120"/>
      </w:pPr>
      <w:r>
        <w:rPr>
          <w:rFonts w:ascii="Palatino Linotype" w:cs="Palatino Linotype" w:eastAsia="Palatino Linotype" w:hAnsi="Palatino Linotype"/>
          <w:b/>
          <w:bCs/>
          <w:color w:val="C9A84C"/>
          <w:sz w:val="24"/>
          <w:szCs w:val="24"/>
        </w:rPr>
        <w:t xml:space="preserve">Pillar 5 — Investor Protection Architecture</w:t>
      </w:r>
    </w:p>
    <w:p>
      <w:pPr>
        <w:spacing w:before="80" w:after="160" w:line="340"/>
      </w:pPr>
      <w:r>
        <w:rPr>
          <w:rFonts w:ascii="Palatino Linotype" w:cs="Palatino Linotype" w:eastAsia="Palatino Linotype" w:hAnsi="Palatino Linotype"/>
          <w:color w:val="D4C9A8"/>
          <w:sz w:val="22"/>
          <w:szCs w:val="22"/>
        </w:rPr>
        <w:t xml:space="preserve">Creator allocation is subject to a 24-month on-chain vesting schedule. Treasury balances are publicly visible on-chain. NFT buyback guarantees are funded by the treasury reserve. Early investor protection is not marketed — it is coded.</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IV. Tokenomics — The Vault of Caesar</w:t>
      </w:r>
    </w:p>
    <w:p>
      <w:pPr>
        <w:pBdr>
          <w:bottom w:val="single" w:color="C9A84C" w:sz="1"/>
        </w:pBdr>
        <w:spacing w:before="160" w:after="16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4.1 Token Overview</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Parameter</w:t>
            </w:r>
          </w:p>
        </w:tc>
        <w:tc>
          <w:tcPr>
            <w:tcW w:type="dxa" w:w="468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Value</w:t>
            </w:r>
          </w:p>
        </w:tc>
      </w:tr>
      <w:tr>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Token Name</w:t>
            </w:r>
          </w:p>
        </w:tc>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Caesar</w:t>
            </w:r>
          </w:p>
        </w:tc>
      </w:tr>
      <w:tr>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Ticker</w:t>
            </w:r>
          </w:p>
        </w:tc>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$CAESAR</w:t>
            </w:r>
          </w:p>
        </w:tc>
      </w:tr>
      <w:tr>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Blockchain</w:t>
            </w:r>
          </w:p>
        </w:tc>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Solana</w:t>
            </w:r>
          </w:p>
        </w:tc>
      </w:tr>
      <w:tr>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Standard</w:t>
            </w:r>
          </w:p>
        </w:tc>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SPL Token</w:t>
            </w:r>
          </w:p>
        </w:tc>
      </w:tr>
      <w:tr>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Total Supply</w:t>
            </w:r>
          </w:p>
        </w:tc>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1,000,000,000 (1 Billion)</w:t>
            </w:r>
          </w:p>
        </w:tc>
      </w:tr>
      <w:tr>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Decimals</w:t>
            </w:r>
          </w:p>
        </w:tc>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9</w:t>
            </w:r>
          </w:p>
        </w:tc>
      </w:tr>
      <w:tr>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Initial Price (T1)</w:t>
            </w:r>
          </w:p>
        </w:tc>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$0.002 USDC</w:t>
            </w:r>
          </w:p>
        </w:tc>
      </w:tr>
      <w:tr>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Current Price (T2)</w:t>
            </w:r>
          </w:p>
        </w:tc>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$0.004 USDC</w:t>
            </w:r>
          </w:p>
        </w:tc>
      </w:tr>
      <w:tr>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T3 Price</w:t>
            </w:r>
          </w:p>
        </w:tc>
        <w:tc>
          <w:tcPr>
            <w:tcW w:type="dxa" w:w="468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$0.008 USDC</w:t>
            </w:r>
          </w:p>
        </w:tc>
      </w:tr>
      <w:tr>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Burn Address</w:t>
            </w:r>
          </w:p>
        </w:tc>
        <w:tc>
          <w:tcPr>
            <w:tcW w:type="dxa" w:w="468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Publicly verifiable on-chain</w:t>
            </w:r>
          </w:p>
        </w:tc>
      </w:tr>
    </w:tbl>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4.2 Token Distribution</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Allocation</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Tokens</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Percentage</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Lock / Vesting</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Community &amp; Ecosystem</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400,000,000</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40%</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Unlocked — Community governed</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Treasury Reserve</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200,000,000</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20%</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On-chain treasury multisig</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Staking Rewards Pool</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200,000,000</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20%</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Smart contract controlled</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Presale</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100,000,000</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Unlocked post-presale</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Team &amp; Founders</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100,000,000</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24-month on-chain vesting</w:t>
            </w:r>
          </w:p>
        </w:tc>
      </w:tr>
    </w:tbl>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120825" w:val="clear"/>
            <w:tcMar>
              <w:top w:type="dxa" w:w="160"/>
              <w:left w:type="dxa" w:w="200"/>
              <w:bottom w:type="dxa" w:w="160"/>
              <w:right w:type="dxa" w:w="200"/>
            </w:tcMar>
          </w:tcPr>
          <w:p>
            <w:pPr>
              <w:spacing w:before="0" w:after="80"/>
            </w:pPr>
            <w:r>
              <w:rPr>
                <w:rFonts w:ascii="Palatino Linotype" w:cs="Palatino Linotype" w:eastAsia="Palatino Linotype" w:hAnsi="Palatino Linotype"/>
                <w:b/>
                <w:bCs/>
                <w:caps/>
                <w:color w:val="C9A84C"/>
                <w:sz w:val="18"/>
                <w:szCs w:val="18"/>
              </w:rPr>
              <w:t xml:space="preserve">VESTING NOTE</w:t>
            </w:r>
          </w:p>
          <w:p>
            <w:pPr>
              <w:spacing w:before="0" w:after="0"/>
            </w:pPr>
            <w:r>
              <w:rPr>
                <w:rFonts w:ascii="Palatino Linotype" w:cs="Palatino Linotype" w:eastAsia="Palatino Linotype" w:hAnsi="Palatino Linotype"/>
                <w:color w:val="D4C9A8"/>
                <w:sz w:val="20"/>
                <w:szCs w:val="20"/>
              </w:rPr>
              <w:t xml:space="preserve">The 10% team allocation (100,000,000 CAESAR) is subject to a 24-month on-chain vesting schedule with a 6-month cliff. This means zero team tokens are accessible for the first 6 months. The vesting contract address will be publicly disclosed at launch.</w:t>
            </w:r>
          </w:p>
        </w:tc>
      </w:tr>
    </w:tbl>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4.3 Deflationary Mechanics</w:t>
      </w:r>
    </w:p>
    <w:p>
      <w:pPr>
        <w:spacing w:before="80" w:after="160" w:line="340"/>
      </w:pPr>
      <w:r>
        <w:rPr>
          <w:rFonts w:ascii="Palatino Linotype" w:cs="Palatino Linotype" w:eastAsia="Palatino Linotype" w:hAnsi="Palatino Linotype"/>
          <w:color w:val="D4C9A8"/>
          <w:sz w:val="22"/>
          <w:szCs w:val="22"/>
        </w:rPr>
        <w:t xml:space="preserve">Caesar's supply decreases through three mechanisms that operate independently and cumulatively:</w:t>
      </w:r>
    </w:p>
    <w:p>
      <w:pPr>
        <w:spacing w:before="60" w:after="60"/>
      </w:pPr>
      <w:r>
        <w:t xml:space="preserve"/>
      </w:r>
    </w:p>
    <w:p>
      <w:pPr>
        <w:pStyle w:val="ListParagraph"/>
        <w:numPr>
          <w:ilvl w:val="0"/>
          <w:numId w:val="3"/>
        </w:numPr>
        <w:spacing w:before="60" w:after="60" w:line="320"/>
      </w:pPr>
      <w:r>
        <w:rPr>
          <w:rFonts w:ascii="Palatino Linotype" w:cs="Palatino Linotype" w:eastAsia="Palatino Linotype" w:hAnsi="Palatino Linotype"/>
          <w:color w:val="D4C9A8"/>
          <w:sz w:val="22"/>
          <w:szCs w:val="22"/>
        </w:rPr>
        <w:t xml:space="preserve">Treasury Burn Events — Senate-approved burns drawing from the treasury reserve. Voted monthly. Supply reduction events are transparent, scheduled, and on-chain.</w:t>
      </w:r>
    </w:p>
    <w:p>
      <w:pPr>
        <w:pStyle w:val="ListParagraph"/>
        <w:numPr>
          <w:ilvl w:val="0"/>
          <w:numId w:val="3"/>
        </w:numPr>
        <w:spacing w:before="60" w:after="60" w:line="320"/>
      </w:pPr>
      <w:r>
        <w:rPr>
          <w:rFonts w:ascii="Palatino Linotype" w:cs="Palatino Linotype" w:eastAsia="Palatino Linotype" w:hAnsi="Palatino Linotype"/>
          <w:color w:val="D4C9A8"/>
          <w:sz w:val="22"/>
          <w:szCs w:val="22"/>
        </w:rPr>
        <w:t xml:space="preserve">NFT Merge Burns — When holders merge lower-tier NFTs into higher-tier pieces, the component NFTs are permanently burned. This creates a sustainable demand loop for NFT acquisition.</w:t>
      </w:r>
    </w:p>
    <w:p>
      <w:pPr>
        <w:pStyle w:val="ListParagraph"/>
        <w:numPr>
          <w:ilvl w:val="0"/>
          <w:numId w:val="3"/>
        </w:numPr>
        <w:spacing w:before="60" w:after="60" w:line="320"/>
      </w:pPr>
      <w:r>
        <w:rPr>
          <w:rFonts w:ascii="Palatino Linotype" w:cs="Palatino Linotype" w:eastAsia="Palatino Linotype" w:hAnsi="Palatino Linotype"/>
          <w:color w:val="D4C9A8"/>
          <w:sz w:val="22"/>
          <w:szCs w:val="22"/>
        </w:rPr>
        <w:t xml:space="preserve">Empire Challenge Burns — Community growth events with burn mechanics that destroy tokens as part of participation rewards. Growth drives scarcity.</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V. Temple of Wealth — Staking Architecture</w:t>
      </w:r>
    </w:p>
    <w:p>
      <w:pPr>
        <w:pBdr>
          <w:bottom w:val="single" w:color="C9A84C" w:sz="1"/>
        </w:pBdr>
        <w:spacing w:before="160" w:after="160"/>
      </w:pPr>
      <w:r>
        <w:t xml:space="preserve"/>
      </w:r>
    </w:p>
    <w:p>
      <w:pPr>
        <w:spacing w:before="80" w:after="160" w:line="340"/>
      </w:pPr>
      <w:r>
        <w:rPr>
          <w:rFonts w:ascii="Palatino Linotype" w:cs="Palatino Linotype" w:eastAsia="Palatino Linotype" w:hAnsi="Palatino Linotype"/>
          <w:color w:val="D4C9A8"/>
          <w:sz w:val="22"/>
          <w:szCs w:val="22"/>
        </w:rPr>
        <w:t xml:space="preserve">The Temple of Wealth is Caesar's core value generation mechanism. Staking is not optional utility — it is the backbone of the entire economic model.</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5.1 Staking Tiers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Tier</w:t>
            </w:r>
          </w:p>
        </w:tc>
        <w:tc>
          <w:tcPr>
            <w:tcW w:type="dxa" w:w="156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Lock Period</w:t>
            </w:r>
          </w:p>
        </w:tc>
        <w:tc>
          <w:tcPr>
            <w:tcW w:type="dxa" w:w="156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Base APR</w:t>
            </w:r>
          </w:p>
        </w:tc>
        <w:tc>
          <w:tcPr>
            <w:tcW w:type="dxa" w:w="156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NFT Unlock</w:t>
            </w:r>
          </w:p>
        </w:tc>
        <w:tc>
          <w:tcPr>
            <w:tcW w:type="dxa" w:w="156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Governance</w:t>
            </w:r>
          </w:p>
        </w:tc>
        <w:tc>
          <w:tcPr>
            <w:tcW w:type="dxa" w:w="156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Special</w:t>
            </w:r>
          </w:p>
        </w:tc>
      </w:tr>
      <w:tr>
        <w:tc>
          <w:tcPr>
            <w:tcW w:type="dxa" w:w="156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Legatus</w:t>
            </w:r>
          </w:p>
        </w:tc>
        <w:tc>
          <w:tcPr>
            <w:tcW w:type="dxa" w:w="156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6 Months</w:t>
            </w:r>
          </w:p>
        </w:tc>
        <w:tc>
          <w:tcPr>
            <w:tcW w:type="dxa" w:w="156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28%</w:t>
            </w:r>
          </w:p>
        </w:tc>
        <w:tc>
          <w:tcPr>
            <w:tcW w:type="dxa" w:w="156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Common &amp; Uncommon</w:t>
            </w:r>
          </w:p>
        </w:tc>
        <w:tc>
          <w:tcPr>
            <w:tcW w:type="dxa" w:w="156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Voting rights</w:t>
            </w:r>
          </w:p>
        </w:tc>
        <w:tc>
          <w:tcPr>
            <w:tcW w:type="dxa" w:w="156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Auto-compound daily</w:t>
            </w:r>
          </w:p>
        </w:tc>
      </w:tr>
      <w:tr>
        <w:tc>
          <w:tcPr>
            <w:tcW w:type="dxa" w:w="156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Consul</w:t>
            </w:r>
          </w:p>
        </w:tc>
        <w:tc>
          <w:tcPr>
            <w:tcW w:type="dxa" w:w="156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12 Months</w:t>
            </w:r>
          </w:p>
        </w:tc>
        <w:tc>
          <w:tcPr>
            <w:tcW w:type="dxa" w:w="156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42%</w:t>
            </w:r>
          </w:p>
        </w:tc>
        <w:tc>
          <w:tcPr>
            <w:tcW w:type="dxa" w:w="156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All tiers + Legendary</w:t>
            </w:r>
          </w:p>
        </w:tc>
        <w:tc>
          <w:tcPr>
            <w:tcW w:type="dxa" w:w="156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Proposals + voting</w:t>
            </w:r>
          </w:p>
        </w:tc>
        <w:tc>
          <w:tcPr>
            <w:tcW w:type="dxa" w:w="156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NFT value guarantee</w:t>
            </w:r>
          </w:p>
        </w:tc>
      </w:tr>
    </w:tbl>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5.2 NFT APR Boost Stack</w:t>
      </w:r>
    </w:p>
    <w:p>
      <w:pPr>
        <w:spacing w:before="80" w:after="160" w:line="340"/>
      </w:pPr>
      <w:r>
        <w:rPr>
          <w:rFonts w:ascii="Palatino Linotype" w:cs="Palatino Linotype" w:eastAsia="Palatino Linotype" w:hAnsi="Palatino Linotype"/>
          <w:color w:val="D4C9A8"/>
          <w:sz w:val="22"/>
          <w:szCs w:val="22"/>
        </w:rPr>
        <w:t xml:space="preserve">Mosaic NFT holders receive additive APR boosts on their staking positions. These stack with the base tier APR:</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NFT Rarity</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APR Boost</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Vote Multiplier</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Supply Cap</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Common — Terracotta Soldier</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+3%</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1x</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10,000</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Uncommon — Praetorian Guard</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+8%</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1.5x</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3,000</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Rare — Temple of Jupiter</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+15%</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2x</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800</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Legendary — Crown of Caesar</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+25%</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3x</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w:t>
            </w:r>
          </w:p>
        </w:tc>
      </w:tr>
    </w:tbl>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120825" w:val="clear"/>
            <w:tcMar>
              <w:top w:type="dxa" w:w="160"/>
              <w:left w:type="dxa" w:w="200"/>
              <w:bottom w:type="dxa" w:w="160"/>
              <w:right w:type="dxa" w:w="200"/>
            </w:tcMar>
          </w:tcPr>
          <w:p>
            <w:pPr>
              <w:spacing w:before="0" w:after="80"/>
            </w:pPr>
            <w:r>
              <w:rPr>
                <w:rFonts w:ascii="Palatino Linotype" w:cs="Palatino Linotype" w:eastAsia="Palatino Linotype" w:hAnsi="Palatino Linotype"/>
                <w:b/>
                <w:bCs/>
                <w:caps/>
                <w:color w:val="C9A84C"/>
                <w:sz w:val="18"/>
                <w:szCs w:val="18"/>
              </w:rPr>
              <w:t xml:space="preserve">MAXIMUM EFFECTIVE YIELD</w:t>
            </w:r>
          </w:p>
          <w:p>
            <w:pPr>
              <w:spacing w:before="0" w:after="0"/>
            </w:pPr>
            <w:r>
              <w:rPr>
                <w:rFonts w:ascii="Palatino Linotype" w:cs="Palatino Linotype" w:eastAsia="Palatino Linotype" w:hAnsi="Palatino Linotype"/>
                <w:color w:val="D4C9A8"/>
                <w:sz w:val="20"/>
                <w:szCs w:val="20"/>
              </w:rPr>
              <w:t xml:space="preserve">A Consul-tier staker (42% APR) holding a Legendary Crown of Caesar NFT (+25% boost) achieves an effective APR of 67%. This is the ceiling yield available in the Caesar ecosystem, accessible only to the most committed long-term citizens.</w:t>
            </w:r>
          </w:p>
        </w:tc>
      </w:tr>
    </w:tbl>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5.3 On-Chain Time Lock Architecture</w:t>
      </w:r>
    </w:p>
    <w:p>
      <w:pPr>
        <w:spacing w:before="80" w:after="160" w:line="340"/>
      </w:pPr>
      <w:r>
        <w:rPr>
          <w:rFonts w:ascii="Palatino Linotype" w:cs="Palatino Linotype" w:eastAsia="Palatino Linotype" w:hAnsi="Palatino Linotype"/>
          <w:color w:val="D4C9A8"/>
          <w:sz w:val="22"/>
          <w:szCs w:val="22"/>
        </w:rPr>
        <w:t xml:space="preserve">All staking positions are enforced by immutable on-chain time locks. The lock mechanism operates as follows:</w:t>
      </w:r>
    </w:p>
    <w:p>
      <w:pPr>
        <w:spacing w:before="60" w:after="60"/>
      </w:pPr>
      <w:r>
        <w:t xml:space="preserve"/>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Tokens are transferred to the staking smart contract at the time of staking.</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The contract records the holder's address, amount, tier, APR rate, and unlock timestamp.</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No withdrawal function is callable until the unlock timestamp has passed.</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The contract owner (creator) has no privileged access to override locks.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The unlock timestamp is publicly readable from any Solana explorer.</w:t>
      </w:r>
    </w:p>
    <w:p>
      <w:pPr>
        <w:spacing w:before="120" w:after="120"/>
      </w:pPr>
      <w:r>
        <w:t xml:space="preserve"/>
      </w:r>
    </w:p>
    <w:p>
      <w:pPr>
        <w:spacing w:before="80" w:after="160" w:line="340"/>
      </w:pPr>
      <w:r>
        <w:rPr>
          <w:rFonts w:ascii="Palatino Linotype" w:cs="Palatino Linotype" w:eastAsia="Palatino Linotype" w:hAnsi="Palatino Linotype"/>
          <w:color w:val="D4C9A8"/>
          <w:sz w:val="22"/>
          <w:szCs w:val="22"/>
        </w:rPr>
        <w:t xml:space="preserve">This architecture means that even in a worst-case scenario where the creator's wallet is compromised, staked funds cannot be extracted. The code is the protection.</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VI. Gallery of Mosaics — NFT Ecosystem</w:t>
      </w:r>
    </w:p>
    <w:p>
      <w:pPr>
        <w:pBdr>
          <w:bottom w:val="single" w:color="C9A84C" w:sz="1"/>
        </w:pBdr>
        <w:spacing w:before="160" w:after="16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6.1 NFT Philosophy</w:t>
      </w:r>
    </w:p>
    <w:p>
      <w:pPr>
        <w:spacing w:before="80" w:after="160" w:line="340"/>
      </w:pPr>
      <w:r>
        <w:rPr>
          <w:rFonts w:ascii="Palatino Linotype" w:cs="Palatino Linotype" w:eastAsia="Palatino Linotype" w:hAnsi="Palatino Linotype"/>
          <w:color w:val="D4C9A8"/>
          <w:sz w:val="22"/>
          <w:szCs w:val="22"/>
        </w:rPr>
        <w:t xml:space="preserve">The Gallery of Mosaics contains utility NFTs — instruments of power within the Caesar ecosystem. They are Roman mosaic-themed, tiered by rarity, and carry real functional value as APR modifiers, governance multipliers, and ecosystem participants.</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6.2 The Buyback Guarantee</w:t>
      </w:r>
    </w:p>
    <w:p>
      <w:pPr>
        <w:spacing w:before="80" w:after="160" w:line="340"/>
      </w:pPr>
      <w:r>
        <w:rPr>
          <w:rFonts w:ascii="Palatino Linotype" w:cs="Palatino Linotype" w:eastAsia="Palatino Linotype" w:hAnsi="Palatino Linotype"/>
          <w:color w:val="D4C9A8"/>
          <w:sz w:val="22"/>
          <w:szCs w:val="22"/>
        </w:rPr>
        <w:t xml:space="preserve">Caesar introduces a first-of-its-kind NFT value guarantee. Any Mosaic NFT returned to the treasury at the end of a staking term is redeemed for its original purchase value. This mechanism is funded by the treasury reserve and governed by the Senate.</w:t>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120825" w:val="clear"/>
            <w:tcMar>
              <w:top w:type="dxa" w:w="160"/>
              <w:left w:type="dxa" w:w="200"/>
              <w:bottom w:type="dxa" w:w="160"/>
              <w:right w:type="dxa" w:w="200"/>
            </w:tcMar>
          </w:tcPr>
          <w:p>
            <w:pPr>
              <w:spacing w:before="0" w:after="80"/>
            </w:pPr>
            <w:r>
              <w:rPr>
                <w:rFonts w:ascii="Palatino Linotype" w:cs="Palatino Linotype" w:eastAsia="Palatino Linotype" w:hAnsi="Palatino Linotype"/>
                <w:b/>
                <w:bCs/>
                <w:caps/>
                <w:color w:val="C9A84C"/>
                <w:sz w:val="18"/>
                <w:szCs w:val="18"/>
              </w:rPr>
              <w:t xml:space="preserve">THE GUARANTEE LOGIC</w:t>
            </w:r>
          </w:p>
          <w:p>
            <w:pPr>
              <w:spacing w:before="0" w:after="0"/>
            </w:pPr>
            <w:r>
              <w:rPr>
                <w:rFonts w:ascii="Palatino Linotype" w:cs="Palatino Linotype" w:eastAsia="Palatino Linotype" w:hAnsi="Palatino Linotype"/>
                <w:color w:val="D4C9A8"/>
                <w:sz w:val="20"/>
                <w:szCs w:val="20"/>
              </w:rPr>
              <w:t xml:space="preserve">Fear of loss is the primary barrier to crypto adoption. The NFT buyback guarantee is a structural answer to that fear. By creating a floor value on NFTs, we remove the downside risk for new citizens entering the ecosystem. The guarantee is not charity — it is trust infrastructure.</w:t>
            </w:r>
          </w:p>
        </w:tc>
      </w:tr>
    </w:tbl>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6.3 The Merge System</w:t>
      </w:r>
    </w:p>
    <w:p>
      <w:pPr>
        <w:spacing w:before="80" w:after="160" w:line="340"/>
      </w:pPr>
      <w:r>
        <w:rPr>
          <w:rFonts w:ascii="Palatino Linotype" w:cs="Palatino Linotype" w:eastAsia="Palatino Linotype" w:hAnsi="Palatino Linotype"/>
          <w:color w:val="D4C9A8"/>
          <w:sz w:val="22"/>
          <w:szCs w:val="22"/>
        </w:rPr>
        <w:t xml:space="preserve">Lower-tier NFTs can be merged to forge higher-prestige pieces: 3 Common = 1 Uncommon, 3 Uncommon = 1 Rare, 3 Rare = 1 Legendary. The merged NFTs are permanently burned. This creates a deflationary NFT economy and a natural incentive loop for NFT acquisition.</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6.4 Non-Transferability</w:t>
      </w:r>
    </w:p>
    <w:p>
      <w:pPr>
        <w:spacing w:before="80" w:after="160" w:line="340"/>
      </w:pPr>
      <w:r>
        <w:rPr>
          <w:rFonts w:ascii="Palatino Linotype" w:cs="Palatino Linotype" w:eastAsia="Palatino Linotype" w:hAnsi="Palatino Linotype"/>
          <w:color w:val="D4C9A8"/>
          <w:sz w:val="22"/>
          <w:szCs w:val="22"/>
        </w:rPr>
        <w:t xml:space="preserve">Mosaic NFTs are non-transferable outside the Caesar ecosystem. This prevents external market speculation that could undermine the utility structure. NFTs earn their value through use, not resale.</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VII. Senate of the Empire — Governance</w:t>
      </w:r>
    </w:p>
    <w:p>
      <w:pPr>
        <w:pBdr>
          <w:bottom w:val="single" w:color="C9A84C" w:sz="1"/>
        </w:pBdr>
        <w:spacing w:before="160" w:after="160"/>
      </w:pPr>
      <w:r>
        <w:t xml:space="preserve"/>
      </w:r>
    </w:p>
    <w:p>
      <w:pPr>
        <w:spacing w:before="80" w:after="160" w:line="340"/>
      </w:pPr>
      <w:r>
        <w:rPr>
          <w:rFonts w:ascii="Palatino Linotype" w:cs="Palatino Linotype" w:eastAsia="Palatino Linotype" w:hAnsi="Palatino Linotype"/>
          <w:color w:val="D4C9A8"/>
          <w:sz w:val="22"/>
          <w:szCs w:val="22"/>
        </w:rPr>
        <w:t xml:space="preserve">The Senate of the Empire is Caesar's on-chain governance system. It is not advisory. It is sovereign. Senate votes determine protocol changes, and those changes are executed on-chain by smart contract.</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7.1 Citizen Tiers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Rank</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Requirement</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Vote Weight</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Powers</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Pleb</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Any holder</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0 — observe only</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Community feed, empire tracker</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Equite</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$250+ staked</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1x vote</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Vote on active proposals</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Patrician</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$1,000+ staked</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1.5x vote</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Propose + vote; full Senate access</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Imperator</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$10,000+ staked</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3x vote</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Elite Council; emergency proposals</w:t>
            </w:r>
          </w:p>
        </w:tc>
      </w:tr>
    </w:tbl>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7.2 Senate Powers</w:t>
      </w:r>
    </w:p>
    <w:p>
      <w:pPr>
        <w:spacing w:before="60" w:after="60"/>
      </w:pPr>
      <w:r>
        <w:t xml:space="preserve"/>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Burn Proposals — Initiate treasury-controlled burn events to reduce circulating supply</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Staking Rate Adjustment — Propose and ratify APR changes across staking tiers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Treasury Allocation — Direct treasury funds toward development, liquidity, or rewards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Empire Challenges — Launch, shape and fund community expansion campaigns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Development Direction — Vote on feature roadmap and exchange listing priorities</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VIII. Imperial Roadmap</w:t>
      </w:r>
    </w:p>
    <w:p>
      <w:pPr>
        <w:pBdr>
          <w:bottom w:val="single" w:color="C9A84C" w:sz="1"/>
        </w:pBdr>
        <w:spacing w:before="160" w:after="160"/>
      </w:pPr>
      <w:r>
        <w:t xml:space="preserve"/>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Phase</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Name</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Timeline</w:t>
            </w:r>
          </w:p>
        </w:tc>
        <w:tc>
          <w:tcPr>
            <w:tcW w:type="dxa" w:w="2340"/>
            <w:tcBorders>
              <w:top w:val="single" w:color="C9A84C" w:sz="1"/>
              <w:left w:val="single" w:color="2A1850" w:sz="1"/>
              <w:bottom w:val="single" w:color="C9A84C" w:sz="1"/>
              <w:right w:val="single" w:color="2A1850" w:sz="1"/>
            </w:tcBorders>
            <w:shd w:fill="1C0E38" w:val="clear"/>
            <w:tcMar>
              <w:top w:type="dxa" w:w="100"/>
              <w:left w:type="dxa" w:w="160"/>
              <w:bottom w:type="dxa" w:w="100"/>
              <w:right w:type="dxa" w:w="160"/>
            </w:tcMar>
          </w:tcPr>
          <w:p>
            <w:pPr>
              <w:jc w:val="left"/>
            </w:pPr>
            <w:r>
              <w:rPr>
                <w:rFonts w:ascii="Palatino Linotype" w:cs="Palatino Linotype" w:eastAsia="Palatino Linotype" w:hAnsi="Palatino Linotype"/>
                <w:b/>
                <w:bCs/>
                <w:caps/>
                <w:color w:val="C9A84C"/>
                <w:sz w:val="18"/>
                <w:szCs w:val="18"/>
              </w:rPr>
              <w:t xml:space="preserve">Key Milestones</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Phase I</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The Founding</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Q1 2026</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Concept, brand, tokenomics, whitepaper, community</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Phase II</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The Legion</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Q1–Q2 2026</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Smart contract audit, SPL deploy, presale, NFT Drop I</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Phase III</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The Temple</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Q2 2026</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Staking live, DEX listing, first burn event, dashboard</w:t>
            </w:r>
          </w:p>
        </w:tc>
      </w:tr>
      <w:tr>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Phase IV</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The Senate</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Q3 2026</w:t>
            </w:r>
          </w:p>
        </w:tc>
        <w:tc>
          <w:tcPr>
            <w:tcW w:type="dxa" w:w="2340"/>
            <w:tcBorders>
              <w:top w:val="single" w:color="2A1850" w:sz="1"/>
              <w:left w:val="single" w:color="2A1850" w:sz="1"/>
              <w:bottom w:val="single" w:color="2A1850" w:sz="1"/>
              <w:right w:val="single" w:color="2A1850" w:sz="1"/>
            </w:tcBorders>
            <w:shd w:fill="120825"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Governance on-chain, first Senate vote, CEX target</w:t>
            </w:r>
          </w:p>
        </w:tc>
      </w:tr>
      <w:tr>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Phase V</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The Empire</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Q4 2026+</w:t>
            </w:r>
          </w:p>
        </w:tc>
        <w:tc>
          <w:tcPr>
            <w:tcW w:type="dxa" w:w="2340"/>
            <w:tcBorders>
              <w:top w:val="single" w:color="2A1850" w:sz="1"/>
              <w:left w:val="single" w:color="2A1850" w:sz="1"/>
              <w:bottom w:val="single" w:color="2A1850" w:sz="1"/>
              <w:right w:val="single" w:color="2A1850" w:sz="1"/>
            </w:tcBorders>
            <w:shd w:fill="0E0720" w:val="clear"/>
            <w:tcMar>
              <w:top w:type="dxa" w:w="80"/>
              <w:left w:type="dxa" w:w="160"/>
              <w:bottom w:type="dxa" w:w="80"/>
              <w:right w:type="dxa" w:w="160"/>
            </w:tcMar>
          </w:tcPr>
          <w:p>
            <w:r>
              <w:rPr>
                <w:rFonts w:ascii="Palatino Linotype" w:cs="Palatino Linotype" w:eastAsia="Palatino Linotype" w:hAnsi="Palatino Linotype"/>
                <w:color w:val="D4C9A8"/>
                <w:sz w:val="20"/>
                <w:szCs w:val="20"/>
              </w:rPr>
              <w:t xml:space="preserve">Cross-chain bridge, Caesar Academy, full DAO, mobile app</w:t>
            </w:r>
          </w:p>
        </w:tc>
      </w:tr>
    </w:tbl>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IX. Security &amp; Investor Protection</w:t>
      </w:r>
    </w:p>
    <w:p>
      <w:pPr>
        <w:pBdr>
          <w:bottom w:val="single" w:color="C9A84C" w:sz="1"/>
        </w:pBdr>
        <w:spacing w:before="160" w:after="16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9.1 Smart Contract Audit</w:t>
      </w:r>
    </w:p>
    <w:p>
      <w:pPr>
        <w:spacing w:before="80" w:after="160" w:line="340"/>
      </w:pPr>
      <w:r>
        <w:rPr>
          <w:rFonts w:ascii="Palatino Linotype" w:cs="Palatino Linotype" w:eastAsia="Palatino Linotype" w:hAnsi="Palatino Linotype"/>
          <w:color w:val="D4C9A8"/>
          <w:sz w:val="22"/>
          <w:szCs w:val="22"/>
        </w:rPr>
        <w:t xml:space="preserve">Prior to mainnet deployment, all Caesar smart contracts (token, staking, NFT, governance) will undergo a full third-party security audit. The audit report will be publicly published. The contract will not launch without a clean audit.</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9.2 Transparency Commitments</w:t>
      </w:r>
    </w:p>
    <w:p>
      <w:pPr>
        <w:spacing w:before="60" w:after="60"/>
      </w:pPr>
      <w:r>
        <w:t xml:space="preserve"/>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All contract addresses publicly disclosed at launch</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Team vesting contract address publicly disclosed</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Treasury wallet publicly readable on Solana explorer</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Burn events announced 48 hours in advance with on-chain verification</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Monthly treasury reporting to the Senate</w:t>
      </w:r>
    </w:p>
    <w:p>
      <w:pPr>
        <w:spacing w:before="120" w:after="120"/>
      </w:pPr>
      <w:r>
        <w:t xml:space="preserve"/>
      </w:r>
    </w:p>
    <w:p>
      <w:pPr>
        <w:pStyle w:val="Heading2"/>
        <w:spacing w:before="320" w:after="160"/>
      </w:pPr>
      <w:r>
        <w:rPr>
          <w:rFonts w:ascii="Palatino Linotype" w:cs="Palatino Linotype" w:eastAsia="Palatino Linotype" w:hAnsi="Palatino Linotype"/>
          <w:b/>
          <w:bCs/>
          <w:color w:val="D4C9A8"/>
          <w:sz w:val="28"/>
          <w:szCs w:val="28"/>
        </w:rPr>
        <w:t xml:space="preserve">9.3 Creator Token Lock</w:t>
      </w:r>
    </w:p>
    <w:p>
      <w:pPr>
        <w:spacing w:before="80" w:after="160" w:line="340"/>
      </w:pPr>
      <w:r>
        <w:rPr>
          <w:rFonts w:ascii="Palatino Linotype" w:cs="Palatino Linotype" w:eastAsia="Palatino Linotype" w:hAnsi="Palatino Linotype"/>
          <w:color w:val="D4C9A8"/>
          <w:sz w:val="22"/>
          <w:szCs w:val="22"/>
        </w:rPr>
        <w:t xml:space="preserve">The 10% founder allocation is subject to a 24-month on-chain vesting schedule with a 6-month cliff. This is enforced by smart contract — not a promise or a handshake. If the creator's wallet is compromised or if the creator attempts early liquidation, the contract will reject the transaction.</w:t>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84C" w:sz="1"/>
              <w:left w:val="single" w:color="C9A84C" w:sz="1"/>
              <w:bottom w:val="single" w:color="C9A84C" w:sz="1"/>
              <w:right w:val="single" w:color="C9A84C" w:sz="1"/>
            </w:tcBorders>
            <w:shd w:fill="120825" w:val="clear"/>
            <w:tcMar>
              <w:top w:type="dxa" w:w="160"/>
              <w:left w:type="dxa" w:w="200"/>
              <w:bottom w:type="dxa" w:w="160"/>
              <w:right w:type="dxa" w:w="200"/>
            </w:tcMar>
          </w:tcPr>
          <w:p>
            <w:pPr>
              <w:spacing w:before="0" w:after="80"/>
            </w:pPr>
            <w:r>
              <w:rPr>
                <w:rFonts w:ascii="Palatino Linotype" w:cs="Palatino Linotype" w:eastAsia="Palatino Linotype" w:hAnsi="Palatino Linotype"/>
                <w:b/>
                <w:bCs/>
                <w:caps/>
                <w:color w:val="C9A84C"/>
                <w:sz w:val="18"/>
                <w:szCs w:val="18"/>
              </w:rPr>
              <w:t xml:space="preserve">OUR COMMITMENT</w:t>
            </w:r>
          </w:p>
          <w:p>
            <w:pPr>
              <w:spacing w:before="0" w:after="0"/>
            </w:pPr>
            <w:r>
              <w:rPr>
                <w:rFonts w:ascii="Palatino Linotype" w:cs="Palatino Linotype" w:eastAsia="Palatino Linotype" w:hAnsi="Palatino Linotype"/>
                <w:color w:val="D4C9A8"/>
                <w:sz w:val="20"/>
                <w:szCs w:val="20"/>
              </w:rPr>
              <w:t xml:space="preserve">Caesar is built for holders, not founders. Every protection mechanism in this whitepaper — the time locks, the vesting, the treasury transparency, the NFT guarantee — exists to ensure that the people who believe in this empire are protected by code, not by trust.</w:t>
            </w:r>
          </w:p>
        </w:tc>
      </w:tr>
    </w:tbl>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X. Risk Disclosure</w:t>
      </w:r>
    </w:p>
    <w:p>
      <w:pPr>
        <w:pBdr>
          <w:bottom w:val="single" w:color="C9A84C" w:sz="1"/>
        </w:pBdr>
        <w:spacing w:before="160" w:after="160"/>
      </w:pPr>
      <w:r>
        <w:t xml:space="preserve"/>
      </w:r>
    </w:p>
    <w:p>
      <w:pPr>
        <w:spacing w:before="80" w:after="160" w:line="340"/>
      </w:pPr>
      <w:r>
        <w:rPr>
          <w:rFonts w:ascii="Palatino Linotype" w:cs="Palatino Linotype" w:eastAsia="Palatino Linotype" w:hAnsi="Palatino Linotype"/>
          <w:color w:val="D4C9A8"/>
          <w:sz w:val="22"/>
          <w:szCs w:val="22"/>
        </w:rPr>
        <w:t xml:space="preserve">Investing in cryptocurrency involves significant risk. The following risks should be understood by all participants:</w:t>
      </w:r>
    </w:p>
    <w:p>
      <w:pPr>
        <w:spacing w:before="60" w:after="60"/>
      </w:pPr>
      <w:r>
        <w:t xml:space="preserve"/>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Market Risk — Cryptocurrency values are highly volatile. The value of $CAESAR may decrease significantly.</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Smart Contract Risk — Despite auditing, smart contracts may contain undiscovered vulnerabilities.</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Regulatory Risk — Cryptocurrency regulation varies by jurisdiction and may change.</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Liquidity Risk — Early-stage tokens may have limited market liquidity.</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APR Sustainability Risk — Staking reward rates are treasury-funded and Senate-governed; rates may be adjusted.</w:t>
      </w:r>
    </w:p>
    <w:p>
      <w:pPr>
        <w:pStyle w:val="ListParagraph"/>
        <w:numPr>
          <w:ilvl w:val="0"/>
          <w:numId w:val="2"/>
        </w:numPr>
        <w:spacing w:before="60" w:after="60" w:line="320"/>
      </w:pPr>
      <w:r>
        <w:rPr>
          <w:rFonts w:ascii="Palatino Linotype" w:cs="Palatino Linotype" w:eastAsia="Palatino Linotype" w:hAnsi="Palatino Linotype"/>
          <w:color w:val="D4C9A8"/>
          <w:sz w:val="22"/>
          <w:szCs w:val="22"/>
        </w:rPr>
        <w:t xml:space="preserve">NFT Guarantee Risk — The buyback guarantee is treasury-funded and subject to treasury solvency.</w:t>
      </w:r>
    </w:p>
    <w:p>
      <w:pPr>
        <w:spacing w:before="120" w:after="120"/>
      </w:pPr>
      <w:r>
        <w:t xml:space="preserve"/>
      </w:r>
    </w:p>
    <w:p>
      <w:pPr>
        <w:spacing w:before="80" w:after="160" w:line="340"/>
      </w:pPr>
      <w:r>
        <w:rPr>
          <w:rFonts w:ascii="Palatino Linotype" w:cs="Palatino Linotype" w:eastAsia="Palatino Linotype" w:hAnsi="Palatino Linotype"/>
          <w:color w:val="D4C9A8"/>
          <w:sz w:val="22"/>
          <w:szCs w:val="22"/>
        </w:rPr>
        <w:t xml:space="preserve">This whitepaper is not financial advice. Participants should conduct their own research and consult qualified financial advisors before making investment decisions.</w:t>
      </w:r>
    </w:p>
    <w:p>
      <w:pPr>
        <w:spacing w:before="120" w:after="120"/>
      </w:pPr>
      <w:r>
        <w:t xml:space="preserve"/>
      </w:r>
    </w:p>
    <w:p>
      <w:pPr>
        <w:pStyle w:val="Heading1"/>
        <w:spacing w:before="480" w:after="200"/>
      </w:pPr>
      <w:r>
        <w:rPr>
          <w:rFonts w:ascii="Palatino Linotype" w:cs="Palatino Linotype" w:eastAsia="Palatino Linotype" w:hAnsi="Palatino Linotype"/>
          <w:b/>
          <w:bCs/>
          <w:color w:val="C9A84C"/>
          <w:sz w:val="36"/>
          <w:szCs w:val="36"/>
        </w:rPr>
        <w:t xml:space="preserve">XI. Conclusion — The Empire Awaits</w:t>
      </w:r>
    </w:p>
    <w:p>
      <w:pPr>
        <w:pBdr>
          <w:bottom w:val="single" w:color="C9A84C" w:sz="1"/>
        </w:pBdr>
        <w:spacing w:before="160" w:after="160"/>
      </w:pPr>
      <w:r>
        <w:t xml:space="preserve"/>
      </w:r>
    </w:p>
    <w:p>
      <w:pPr>
        <w:spacing w:before="80" w:after="160" w:line="340"/>
      </w:pPr>
      <w:r>
        <w:rPr>
          <w:rFonts w:ascii="Palatino Linotype" w:cs="Palatino Linotype" w:eastAsia="Palatino Linotype" w:hAnsi="Palatino Linotype"/>
          <w:color w:val="D4C9A8"/>
          <w:sz w:val="22"/>
          <w:szCs w:val="22"/>
        </w:rPr>
        <w:t xml:space="preserve">Rome was not built in a day. Caesar Empire is not built for a day either. It is built for citizens who understand that real wealth is a product of structure, discipline, and time — not speculation and noise.</w:t>
      </w:r>
    </w:p>
    <w:p>
      <w:pPr>
        <w:spacing w:before="120" w:after="120"/>
      </w:pPr>
      <w:r>
        <w:t xml:space="preserve"/>
      </w:r>
    </w:p>
    <w:p>
      <w:pPr>
        <w:spacing w:before="80" w:after="160" w:line="340"/>
      </w:pPr>
      <w:r>
        <w:rPr>
          <w:rFonts w:ascii="Palatino Linotype" w:cs="Palatino Linotype" w:eastAsia="Palatino Linotype" w:hAnsi="Palatino Linotype"/>
          <w:color w:val="D4C9A8"/>
          <w:sz w:val="22"/>
          <w:szCs w:val="22"/>
        </w:rPr>
        <w:t xml:space="preserve">The mechanics are in place. The architecture is sound. The Senate is ready. The only thing missing is you.</w:t>
      </w:r>
    </w:p>
    <w:p>
      <w:pPr>
        <w:spacing w:before="120" w:after="120"/>
      </w:pPr>
      <w:r>
        <w:t xml:space="preserve"/>
      </w:r>
    </w:p>
    <w:p>
      <w:pPr>
        <w:spacing w:before="480" w:after="80"/>
        <w:jc w:val="center"/>
      </w:pPr>
      <w:r>
        <w:rPr>
          <w:rFonts w:ascii="Palatino Linotype" w:cs="Palatino Linotype" w:eastAsia="Palatino Linotype" w:hAnsi="Palatino Linotype"/>
          <w:color w:val="C9A84C"/>
          <w:sz w:val="36"/>
          <w:szCs w:val="36"/>
        </w:rPr>
        <w:t xml:space="preserve">⸻ 🏛 ⸻</w:t>
      </w:r>
    </w:p>
    <w:p>
      <w:pPr>
        <w:spacing w:before="0" w:after="80"/>
        <w:jc w:val="center"/>
      </w:pPr>
      <w:r>
        <w:rPr>
          <w:rFonts w:ascii="Palatino Linotype" w:cs="Palatino Linotype" w:eastAsia="Palatino Linotype" w:hAnsi="Palatino Linotype"/>
          <w:b/>
          <w:bCs/>
          <w:caps/>
          <w:color w:val="C9A84C"/>
          <w:sz w:val="48"/>
          <w:szCs w:val="48"/>
        </w:rPr>
        <w:t xml:space="preserve">CAESAR EMPIRE</w:t>
      </w:r>
    </w:p>
    <w:p>
      <w:pPr>
        <w:spacing w:before="0" w:after="80"/>
        <w:jc w:val="center"/>
      </w:pPr>
      <w:r>
        <w:rPr>
          <w:rFonts w:ascii="Palatino Linotype" w:cs="Palatino Linotype" w:eastAsia="Palatino Linotype" w:hAnsi="Palatino Linotype"/>
          <w:color w:val="D4C9A8"/>
          <w:sz w:val="28"/>
          <w:szCs w:val="28"/>
        </w:rPr>
        <w:t xml:space="preserve">Not a coin. An Empire.</w:t>
      </w:r>
    </w:p>
    <w:p>
      <w:pPr>
        <w:spacing w:before="0" w:after="0"/>
        <w:jc w:val="center"/>
      </w:pPr>
      <w:r>
        <w:rPr>
          <w:rFonts w:ascii="Palatino Linotype" w:cs="Palatino Linotype" w:eastAsia="Palatino Linotype" w:hAnsi="Palatino Linotype"/>
          <w:color w:val="8A7A60"/>
          <w:sz w:val="20"/>
          <w:szCs w:val="20"/>
        </w:rPr>
        <w:t xml:space="preserve">caesar.io  ·  @CaesarEmpire  ·  discord.gg/caesar  ·  t.me/caesarempire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1850" w:sz="1"/>
      </w:pBdr>
      <w:spacing w:before="80" w:after="0"/>
    </w:pPr>
    <w:r>
      <w:rPr>
        <w:rFonts w:ascii="Palatino Linotype" w:cs="Palatino Linotype" w:eastAsia="Palatino Linotype" w:hAnsi="Palatino Linotype"/>
        <w:color w:val="8A7A60"/>
        <w:sz w:val="16"/>
        <w:szCs w:val="16"/>
      </w:rPr>
      <w:t xml:space="preserve">Not financial advice. Do your own research. </w:t>
    </w:r>
    <w:r>
      <w:rPr>
        <w:rFonts w:ascii="Palatino Linotype" w:cs="Palatino Linotype" w:eastAsia="Palatino Linotype" w:hAnsi="Palatino Linotype"/>
        <w:color w:val="8A7A60"/>
        <w:sz w:val="16"/>
        <w:szCs w:val="16"/>
      </w:rPr>
      <w:fldChar w:fldCharType="begin"/>
      <w:instrText xml:space="preserve">PAGE</w:instrText>
      <w:fldChar w:fldCharType="separate"/>
      <w:fldChar w:fldCharType="end"/>
    </w:r>
    <w:r>
      <w:rPr>
        <w:rFonts w:ascii="Palatino Linotype" w:cs="Palatino Linotype" w:eastAsia="Palatino Linotype" w:hAnsi="Palatino Linotype"/>
        <w:color w:val="8A7A60"/>
        <w:sz w:val="16"/>
        <w:szCs w:val="16"/>
      </w:rPr>
      <w:t xml:space="preserve"> / </w:t>
    </w:r>
    <w:r>
      <w:rPr>
        <w:rFonts w:ascii="Palatino Linotype" w:cs="Palatino Linotype" w:eastAsia="Palatino Linotype" w:hAnsi="Palatino Linotype"/>
        <w:color w:val="8A7A6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1"/>
      </w:pBdr>
      <w:spacing w:before="0" w:after="0"/>
    </w:pPr>
    <w:r>
      <w:rPr>
        <w:rFonts w:ascii="Palatino Linotype" w:cs="Palatino Linotype" w:eastAsia="Palatino Linotype" w:hAnsi="Palatino Linotype"/>
        <w:b/>
        <w:bCs/>
        <w:caps/>
        <w:color w:val="C9A84C"/>
        <w:sz w:val="16"/>
        <w:szCs w:val="16"/>
      </w:rPr>
      <w:t xml:space="preserve">CAESAR EMPIRE</w:t>
    </w:r>
    <w:r>
      <w:rPr>
        <w:rFonts w:ascii="Palatino Linotype" w:cs="Palatino Linotype" w:eastAsia="Palatino Linotype" w:hAnsi="Palatino Linotype"/>
        <w:color w:val="8A7A60"/>
        <w:sz w:val="16"/>
        <w:szCs w:val="16"/>
      </w:rPr>
      <w:t xml:space="preserve">  ·  WHITEPAPER v1.0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360"/>
      </w:pPr>
      <w:rPr>
        <w:color w:val="C9A84C"/>
        <w:sz w:val="14"/>
        <w:szCs w:val="14"/>
      </w:rPr>
    </w:lvl>
  </w:abstractNum>
  <w:abstractNum w:abstractNumId="3" w15:restartNumberingAfterBreak="0">
    <w:multiLevelType w:val="hybridMultilevel"/>
    <w:lvl w:ilvl="0" w15:tentative="1">
      <w:start w:val="1"/>
      <w:numFmt w:val="decimal"/>
      <w:lvlText w:val="%1."/>
      <w:lvlJc w:val="left"/>
      <w:pPr>
        <w:ind w:left="560" w:hanging="360"/>
      </w:pPr>
      <w:rPr>
        <w:color w:val="C9A84C"/>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color w:val="D4C9A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Palatino Linotype" w:cs="Palatino Linotype" w:eastAsia="Palatino Linotype" w:hAnsi="Palatino Linotype"/>
      <w:b/>
      <w:bCs/>
      <w:color w:val="C9A84C"/>
      <w:sz w:val="36"/>
      <w:szCs w:val="36"/>
    </w:rPr>
  </w:style>
  <w:style w:type="paragraph" w:styleId="Heading2">
    <w:name w:val="Heading 2"/>
    <w:basedOn w:val="Normal"/>
    <w:next w:val="Normal"/>
    <w:qFormat/>
    <w:pPr>
      <w:spacing w:before="320" w:after="160"/>
      <w:outlineLvl w:val="1"/>
    </w:pPr>
    <w:rPr>
      <w:rFonts w:ascii="Palatino Linotype" w:cs="Palatino Linotype" w:eastAsia="Palatino Linotype" w:hAnsi="Palatino Linotype"/>
      <w:b/>
      <w:bCs/>
      <w:color w:val="D4C9A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2026-02-22T20:34:06.677Z</dcterms:created>
  <dcterms:modified xsi:type="dcterms:W3CDTF">2026-02-22T20:34:06.678Z</dcterms:modified>
</cp:coreProperties>
</file>

<file path=docProps/custom.xml><?xml version="1.0" encoding="utf-8"?>
<Properties xmlns="http://schemas.openxmlformats.org/officeDocument/2006/custom-properties" xmlns:vt="http://schemas.openxmlformats.org/officeDocument/2006/docPropsVTypes"/>
</file>